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rPr>
          <w:b/>
          <w:color w:val="1F2A44"/>
          <w:sz w:val="44"/>
        </w:rPr>
        <w:t>RUPESH SHINDE</w:t>
      </w:r>
    </w:p>
    <w:p>
      <w:pPr>
        <w:spacing w:before="0" w:after="40"/>
        <w:jc w:val="center"/>
      </w:pPr>
      <w:r>
        <w:rPr>
          <w:b/>
          <w:color w:val="1F2A44"/>
          <w:sz w:val="23"/>
        </w:rPr>
        <w:t>Enterprise Healthcare AI &amp; Digital Transformation Leader</w:t>
      </w:r>
    </w:p>
    <w:p>
      <w:pPr>
        <w:spacing w:before="0" w:after="120"/>
        <w:jc w:val="center"/>
      </w:pPr>
      <w:r>
        <w:rPr>
          <w:b w:val="0"/>
          <w:sz w:val="19"/>
        </w:rPr>
        <w:t>Pune, India  |  +91 96659 92188  |  rupeshshinde07@gmail.com  |  linkedin.com/in/rupesh-shinde-r0102037s</w:t>
      </w:r>
    </w:p>
    <w:p>
      <w:pPr>
        <w:spacing w:before="120" w:after="40"/>
        <w:pBdr>
          <w:bottom w:val="single" w:sz="6" w:space="2" w:color="1F2A44"/>
        </w:pBdr>
      </w:pPr>
      <w:r>
        <w:rPr>
          <w:b/>
          <w:color w:val="1F2A44"/>
          <w:sz w:val="23"/>
        </w:rPr>
        <w:t>EXECUTIVE SUMMARY</w:t>
      </w:r>
    </w:p>
    <w:p>
      <w:pPr>
        <w:spacing w:before="0" w:after="20"/>
      </w:pPr>
      <w:r>
        <w:t>Enterprise Healthcare &amp; Digital Transformation leader with 18+ years governing regulated clinical platforms, enterprise CTMS, and global clinical operations across 20+ countries. Global CTMS System Owner and Clinical Platform Product Manager at Novartis — owning Veeva Vault platform strategy, CSV/CSA validation governance, and 21 CFR Part 11 / EU Annex 11 audit readiness while delivering 15–25% operational efficiency gains. Deep GxP and ICH E6 expertise across Phase I–III operations, paired with hands-on delivery of AI-enabled workflow automation and ambient clinical documentation. Founder of an independent AI innovation lab building and piloting healthcare AI products. Seeking to lead enterprise clinical-systems modernization, digital transformation, and responsible AI adoption in pharmaceutical and life-sciences organizations.</w:t>
      </w:r>
    </w:p>
    <w:p>
      <w:pPr>
        <w:spacing w:before="120" w:after="40"/>
        <w:pBdr>
          <w:bottom w:val="single" w:sz="6" w:space="2" w:color="1F2A44"/>
        </w:pBdr>
      </w:pPr>
      <w:r>
        <w:rPr>
          <w:b/>
          <w:color w:val="1F2A44"/>
          <w:sz w:val="23"/>
        </w:rPr>
        <w:t>CORE COMPETENCIES</w:t>
      </w:r>
    </w:p>
    <w:p>
      <w:pPr>
        <w:spacing w:before="20" w:after="20"/>
      </w:pPr>
      <w:r>
        <w:rPr>
          <w:b/>
          <w:color w:val="1F2A44"/>
        </w:rPr>
        <w:t xml:space="preserve">Healthcare &amp; Clinical Platforms:  </w:t>
      </w:r>
      <w:r>
        <w:t>Enterprise CTMS | Veeva Vault | EDC | eTMF | Clinical Operations | Clinical Trials (Phase I–III) | Digital Health | EHR Integration | HL7 | FHIR</w:t>
      </w:r>
    </w:p>
    <w:p>
      <w:pPr>
        <w:spacing w:before="20" w:after="20"/>
      </w:pPr>
      <w:r>
        <w:rPr>
          <w:b/>
          <w:color w:val="1F2A44"/>
        </w:rPr>
        <w:t xml:space="preserve">Compliance &amp; Governance:  </w:t>
      </w:r>
      <w:r>
        <w:t>GxP | CSV | CSA | 21 CFR Part 11 | EU Annex 11 | ICH E6 GCP | Audit Readiness | Validation Governance</w:t>
      </w:r>
    </w:p>
    <w:p>
      <w:pPr>
        <w:spacing w:before="20" w:after="20"/>
      </w:pPr>
      <w:r>
        <w:rPr>
          <w:b/>
          <w:color w:val="1F2A44"/>
        </w:rPr>
        <w:t xml:space="preserve">Leadership &amp; Transformation:  </w:t>
      </w:r>
      <w:r>
        <w:t>Product Strategy | Digital Transformation | Global Delivery | Vendor Management | Stakeholder Alignment | Budget Ownership | Cross-functional Leadership | Change Management</w:t>
      </w:r>
    </w:p>
    <w:p>
      <w:pPr>
        <w:spacing w:before="20" w:after="20"/>
      </w:pPr>
      <w:r>
        <w:rPr>
          <w:b/>
          <w:color w:val="1F2A44"/>
        </w:rPr>
        <w:t xml:space="preserve">AI &amp; Automation:  </w:t>
      </w:r>
      <w:r>
        <w:t>Generative AI | Agentic AI | Healthcare AI | AI Workflow Automation | Ambient AI | NLP | Prompt Engineering | Retrieval-Augmented Generation (RAG) | OpenAI API | Claude | Python</w:t>
      </w:r>
    </w:p>
    <w:p>
      <w:pPr>
        <w:spacing w:before="120" w:after="40"/>
        <w:pBdr>
          <w:bottom w:val="single" w:sz="6" w:space="2" w:color="1F2A44"/>
        </w:pBdr>
      </w:pPr>
      <w:r>
        <w:rPr>
          <w:b/>
          <w:color w:val="1F2A44"/>
          <w:sz w:val="23"/>
        </w:rPr>
        <w:t>CAREER HIGHLIGHTS</w:t>
      </w:r>
    </w:p>
    <w:p>
      <w:pPr>
        <w:pStyle w:val="ListBullet"/>
        <w:spacing w:before="0" w:after="20"/>
        <w:ind w:left="280"/>
      </w:pPr>
      <w:r>
        <w:t>18+ years of healthcare technology and clinical-systems leadership across regulated pharmaceutical platforms.</w:t>
      </w:r>
    </w:p>
    <w:p>
      <w:pPr>
        <w:pStyle w:val="ListBullet"/>
        <w:spacing w:before="0" w:after="20"/>
        <w:ind w:left="280"/>
      </w:pPr>
      <w:r>
        <w:t>Governed enterprise CTMS platform strategy across 20+ countries at global scale.</w:t>
      </w:r>
    </w:p>
    <w:p>
      <w:pPr>
        <w:pStyle w:val="ListBullet"/>
        <w:spacing w:before="0" w:after="20"/>
        <w:ind w:left="280"/>
      </w:pPr>
      <w:r>
        <w:t>Led cross-functional delivery teams of 40+ members across 4 global regions.</w:t>
      </w:r>
    </w:p>
    <w:p>
      <w:pPr>
        <w:pStyle w:val="ListBullet"/>
        <w:spacing w:before="0" w:after="20"/>
        <w:ind w:left="280"/>
      </w:pPr>
      <w:r>
        <w:t>Delivered 15–25% operational efficiency gains through AI-enabled workflow automation and Veeva Vault optimization.</w:t>
      </w:r>
    </w:p>
    <w:p>
      <w:pPr>
        <w:pStyle w:val="ListBullet"/>
        <w:spacing w:before="0" w:after="20"/>
        <w:ind w:left="280"/>
      </w:pPr>
      <w:r>
        <w:t>Conceived, built, and piloted a portfolio of healthcare AI solutions, workflow automation platforms, and digital-health products spanning clinical documentation, emergency coordination, patient engagement, and public-sector automation.</w:t>
      </w:r>
    </w:p>
    <w:p>
      <w:pPr>
        <w:pStyle w:val="ListBullet"/>
        <w:spacing w:before="0" w:after="20"/>
        <w:ind w:left="280"/>
      </w:pPr>
      <w:r>
        <w:t>International onsite experience: 4 years United States, 2 years Switzerland, 12+ years India.</w:t>
      </w:r>
    </w:p>
    <w:p>
      <w:pPr>
        <w:pStyle w:val="ListBullet"/>
        <w:spacing w:before="0" w:after="20"/>
        <w:ind w:left="280"/>
      </w:pPr>
      <w:r>
        <w:t>International Hackathon Finalist — presented clinical technology outcomes at Novartis Global HQ, Basel, Switzerland.</w:t>
      </w:r>
    </w:p>
    <w:p>
      <w:pPr>
        <w:spacing w:before="120" w:after="40"/>
        <w:pBdr>
          <w:bottom w:val="single" w:sz="6" w:space="2" w:color="1F2A44"/>
        </w:pBdr>
      </w:pPr>
      <w:r>
        <w:rPr>
          <w:b/>
          <w:color w:val="1F2A44"/>
          <w:sz w:val="23"/>
        </w:rPr>
        <w:t>PROFESSIONAL EXPERIENCE</w:t>
      </w:r>
    </w:p>
    <w:p>
      <w:pPr>
        <w:spacing w:before="120" w:after="0"/>
      </w:pPr>
      <w:r>
        <w:rPr>
          <w:b/>
          <w:sz w:val="22"/>
        </w:rPr>
        <w:t>Novartis — Technology Product Manager / CTMS Lead</w:t>
      </w:r>
    </w:p>
    <w:p>
      <w:pPr>
        <w:spacing w:before="0" w:after="20"/>
      </w:pPr>
      <w:r>
        <w:rPr>
          <w:i/>
          <w:sz w:val="19"/>
        </w:rPr>
        <w:t>2022 – Present  |  Basel, Switzerland &amp; Hyderabad, India</w:t>
      </w:r>
    </w:p>
    <w:p>
      <w:pPr>
        <w:spacing w:before="0" w:after="20"/>
      </w:pPr>
      <w:r>
        <w:t>Directing enterprise clinical technology transformation across regulated pharmaceutical ecosystems — governing global CTMS platform strategy, GxP-compliant delivery, and AI-enabled workflow automation serving clinical operations across 20+ countries.</w:t>
      </w:r>
    </w:p>
    <w:p>
      <w:pPr>
        <w:pStyle w:val="ListBullet"/>
        <w:spacing w:before="0" w:after="20"/>
        <w:ind w:left="280"/>
      </w:pPr>
      <w:r>
        <w:t>Owned enterprise CTMS product strategy and the multi-year global platform roadmap across 20+ countries, directing clinical-operations modernization for one of the world's largest pharmaceutical enterprises.</w:t>
      </w:r>
    </w:p>
    <w:p>
      <w:pPr>
        <w:pStyle w:val="ListBullet"/>
        <w:spacing w:before="0" w:after="20"/>
        <w:ind w:left="280"/>
      </w:pPr>
      <w:r>
        <w:t>Directed GxP-compliant platform delivery that drove 15–25% operational efficiency gains, scaling AI-enabled workflow automation and Veeva Vault optimization across Business, IT, Quality, and Regulatory functions.</w:t>
      </w:r>
    </w:p>
    <w:p>
      <w:pPr>
        <w:pStyle w:val="ListBullet"/>
        <w:spacing w:before="0" w:after="20"/>
        <w:ind w:left="280"/>
      </w:pPr>
      <w:r>
        <w:t>Established enterprise validation governance — owning CSV/CSA strategy and serving as PQ business lead for every platform release — sustaining continuous 21 CFR Part 11 and EU Annex 11 audit readiness.</w:t>
      </w:r>
    </w:p>
    <w:p>
      <w:pPr>
        <w:pStyle w:val="ListBullet"/>
        <w:spacing w:before="0" w:after="20"/>
        <w:ind w:left="280"/>
      </w:pPr>
      <w:r>
        <w:t>Steered the global IMPACT-to-Veeva CTMS migration, the enterprise's core clinical-operations platform transition, while championing AI-driven SIGNAL automation that reduced manual clinical report review.</w:t>
      </w:r>
    </w:p>
    <w:p>
      <w:pPr>
        <w:pStyle w:val="ListBullet"/>
        <w:spacing w:before="0" w:after="20"/>
        <w:ind w:left="280"/>
      </w:pPr>
      <w:r>
        <w:t>Drove enterprise adoption of AI-enabled clinical documentation and eTMF workflow transformation, embedding intelligent automation into regulated pharmaceutical operations across global markets.</w:t>
      </w:r>
    </w:p>
    <w:p>
      <w:pPr>
        <w:pStyle w:val="ListBullet"/>
        <w:spacing w:before="0" w:after="20"/>
        <w:ind w:left="280"/>
      </w:pPr>
      <w:r>
        <w:t>Aligned executive and cross-functional stakeholders across Clinical Operations, IT, Quality, and Regulatory — institutionalizing enterprise-wide audit readiness for Phase I–III trial operations.</w:t>
      </w:r>
    </w:p>
    <w:p>
      <w:pPr>
        <w:spacing w:before="120" w:after="0"/>
      </w:pPr>
      <w:r>
        <w:rPr>
          <w:b/>
          <w:sz w:val="22"/>
        </w:rPr>
        <w:t>Cognizant Technology Solutions — Senior Technology Lead / Product Specialist</w:t>
      </w:r>
    </w:p>
    <w:p>
      <w:pPr>
        <w:spacing w:before="0" w:after="20"/>
      </w:pPr>
      <w:r>
        <w:rPr>
          <w:i/>
          <w:sz w:val="19"/>
        </w:rPr>
        <w:t>2007 – 2021 (14 years)  |  New Jersey, USA · Basel, Switzerland · India</w:t>
      </w:r>
    </w:p>
    <w:p>
      <w:pPr>
        <w:spacing w:before="0" w:after="20"/>
      </w:pPr>
      <w:r>
        <w:t>Directed enterprise healthcare and life-sciences technology transformation for Fortune 500 pharmaceutical organizations across global markets — owning the full program lifecycle from requirements through deployment, regulatory validation, and operational excellence.</w:t>
      </w:r>
    </w:p>
    <w:p>
      <w:pPr>
        <w:pStyle w:val="ListBullet"/>
        <w:spacing w:before="0" w:after="20"/>
        <w:ind w:left="280"/>
      </w:pPr>
      <w:r>
        <w:t>Directed healthcare technology transformation portfolios for Fortune 500 pharmaceutical enterprises across the US, Europe, and India, owning delivery from requirements through validation and go-live.</w:t>
      </w:r>
    </w:p>
    <w:p>
      <w:pPr>
        <w:pStyle w:val="ListBullet"/>
        <w:spacing w:before="0" w:after="20"/>
        <w:ind w:left="280"/>
      </w:pPr>
      <w:r>
        <w:t>Led enterprise CTMS implementations and clinical-systems delivery across 10+ simultaneous global programs, standardizing delivery and validation practices for leading pharmaceutical organizations.</w:t>
      </w:r>
    </w:p>
    <w:p>
      <w:pPr>
        <w:pStyle w:val="ListBullet"/>
        <w:spacing w:before="0" w:after="20"/>
        <w:ind w:left="280"/>
      </w:pPr>
      <w:r>
        <w:t>Built and led cross-functional delivery organizations of 40+ members across three regions, accountable for on-time delivery in complex, regulated GxP environments.</w:t>
      </w:r>
    </w:p>
    <w:p>
      <w:pPr>
        <w:pStyle w:val="ListBullet"/>
        <w:spacing w:before="0" w:after="20"/>
        <w:ind w:left="280"/>
      </w:pPr>
      <w:r>
        <w:t>Owned CSV documentation, validation governance, and EDC platform administration across global programs, ensuring full audit readiness for clinical trials.</w:t>
      </w:r>
    </w:p>
    <w:p>
      <w:pPr>
        <w:pStyle w:val="ListBullet"/>
        <w:spacing w:before="0" w:after="20"/>
        <w:ind w:left="280"/>
      </w:pPr>
      <w:r>
        <w:t>Modernized clinical data workflows and ETL integration pipelines, improving data quality and operational throughput across enterprise clinical platforms.</w:t>
      </w:r>
    </w:p>
    <w:p>
      <w:pPr>
        <w:pStyle w:val="ListBullet"/>
        <w:spacing w:before="0" w:after="20"/>
        <w:ind w:left="280"/>
      </w:pPr>
      <w:r>
        <w:t>Governed multi-year program budgets and strategic vendor relationships, and developed talent through structured mentoring in GxP compliance and ICH E6 good clinical practice.</w:t>
      </w:r>
    </w:p>
    <w:p>
      <w:pPr>
        <w:spacing w:before="120" w:after="0"/>
      </w:pPr>
      <w:r>
        <w:rPr>
          <w:b/>
          <w:sz w:val="22"/>
        </w:rPr>
        <w:t>TinyAngle Studio — Founder &amp; AI Product Lead (Part-Time Innovation Initiative)</w:t>
      </w:r>
    </w:p>
    <w:p>
      <w:pPr>
        <w:spacing w:before="0" w:after="20"/>
      </w:pPr>
      <w:r>
        <w:rPr>
          <w:i/>
          <w:sz w:val="19"/>
        </w:rPr>
        <w:t>2026 – Present  |  Pune, India · Independent Healthcare AI Innovation Lab · Concurrent with Novartis</w:t>
      </w:r>
    </w:p>
    <w:p>
      <w:pPr>
        <w:spacing w:before="0" w:after="20"/>
      </w:pPr>
      <w:r>
        <w:t>Founded an independent AI innovation lab advancing healthcare workflow acceleration, clinical operational intelligence, and enterprise AI transformation. Designed, developed, and piloted AI-enabled healthcare solutions using OpenAI APIs, Python, prompt engineering, retrieval-augmented generation (RAG), and agentic AI approaches.</w:t>
      </w:r>
    </w:p>
    <w:p>
      <w:pPr>
        <w:spacing w:before="20" w:after="20"/>
      </w:pPr>
      <w:r>
        <w:rPr>
          <w:b/>
          <w:color w:val="1F2A44"/>
        </w:rPr>
        <w:t xml:space="preserve">MediScribe — Ambient AI Clinical Documentation (MVP / Pilot):  </w:t>
      </w:r>
      <w:r>
        <w:t>Directed an ambient AI clinical documentation platform designed to reduce physician administrative burden by 90+ minutes/day through automated SOAP note generation, ICD-10 auto-coding, and EHR workflow integration.</w:t>
      </w:r>
    </w:p>
    <w:p>
      <w:pPr>
        <w:spacing w:before="20" w:after="20"/>
      </w:pPr>
      <w:r>
        <w:rPr>
          <w:b/>
          <w:color w:val="1F2A44"/>
        </w:rPr>
        <w:t xml:space="preserve">ResQ — AI Emergency Coordination Platform (In Development):  </w:t>
      </w:r>
      <w:r>
        <w:t>Architected an intelligent emergency coordination platform with AI-driven triage, smart routing, SOS activation, and offline-first capability for zero-connectivity critical-care environments.</w:t>
      </w:r>
    </w:p>
    <w:p>
      <w:pPr>
        <w:spacing w:before="20" w:after="20"/>
      </w:pPr>
      <w:r>
        <w:rPr>
          <w:b/>
          <w:color w:val="1F2A44"/>
        </w:rPr>
        <w:t xml:space="preserve">Healthcare Digital Platforms (Delivered / Live):  </w:t>
      </w:r>
      <w:r>
        <w:t>Delivered digital health platforms for an orthopaedic clinic (40% new-patient conversion growth, 4.9-star satisfaction) and a leading cardiac surgeon (Smiling Hearts) — digitizing patient engagement, booking automation, and clinical-workflow intelligence.</w:t>
      </w:r>
    </w:p>
    <w:p>
      <w:pPr>
        <w:spacing w:before="20" w:after="20"/>
      </w:pPr>
      <w:r>
        <w:rPr>
          <w:b/>
          <w:color w:val="1F2A44"/>
        </w:rPr>
        <w:t xml:space="preserve">Government Automation (Delivered):  </w:t>
      </w:r>
      <w:r>
        <w:t>Designed a QR-based citizen information system with mobile-first data capture, automated validation, intelligent duplicate detection, and reviewer workflow automation.</w:t>
      </w:r>
    </w:p>
    <w:p>
      <w:pPr>
        <w:spacing w:before="120" w:after="40"/>
        <w:pBdr>
          <w:bottom w:val="single" w:sz="6" w:space="2" w:color="1F2A44"/>
        </w:pBdr>
      </w:pPr>
      <w:r>
        <w:rPr>
          <w:b/>
          <w:color w:val="1F2A44"/>
          <w:sz w:val="23"/>
        </w:rPr>
        <w:t>SELECTED ENTERPRISE TRANSFORMATION PROGRAMS</w:t>
      </w:r>
    </w:p>
    <w:p>
      <w:pPr>
        <w:spacing w:before="100" w:after="20"/>
      </w:pPr>
      <w:r>
        <w:rPr>
          <w:b/>
          <w:color w:val="1F2A44"/>
          <w:sz w:val="21"/>
        </w:rPr>
        <w:t>Global CTMS Governance &amp; Modernization</w:t>
      </w:r>
    </w:p>
    <w:p>
      <w:pPr>
        <w:spacing w:before="20" w:after="20"/>
      </w:pPr>
      <w:r>
        <w:rPr>
          <w:b/>
          <w:color w:val="1F2A44"/>
        </w:rPr>
        <w:t xml:space="preserve">Role:  </w:t>
      </w:r>
      <w:r>
        <w:t>Enterprise CTMS Product Owner / Lead, Novartis.</w:t>
      </w:r>
    </w:p>
    <w:p>
      <w:pPr>
        <w:spacing w:before="20" w:after="20"/>
      </w:pPr>
      <w:r>
        <w:rPr>
          <w:b/>
          <w:color w:val="1F2A44"/>
        </w:rPr>
        <w:t xml:space="preserve">Context:  </w:t>
      </w:r>
      <w:r>
        <w:t>Clinical-operations tooling spanned 20+ countries and required unified governance and a modern platform strategy.</w:t>
      </w:r>
    </w:p>
    <w:p>
      <w:pPr>
        <w:spacing w:before="20" w:after="20"/>
      </w:pPr>
      <w:r>
        <w:rPr>
          <w:b/>
          <w:color w:val="1F2A44"/>
        </w:rPr>
        <w:t xml:space="preserve">Contribution:  </w:t>
      </w:r>
      <w:r>
        <w:t>Defined the platform roadmap, governance model, and release strategy; aligned Business, IT, Quality, and Regulatory.</w:t>
      </w:r>
    </w:p>
    <w:p>
      <w:pPr>
        <w:spacing w:before="20" w:after="40"/>
      </w:pPr>
      <w:r>
        <w:rPr>
          <w:b/>
          <w:color w:val="1F2A44"/>
        </w:rPr>
        <w:t xml:space="preserve">Impact:  </w:t>
      </w:r>
      <w:r>
        <w:t>Standardized enterprise CTMS governance at global scale, underpinning 15–25% operational efficiency gains.</w:t>
      </w:r>
    </w:p>
    <w:p>
      <w:pPr>
        <w:spacing w:before="100" w:after="20"/>
      </w:pPr>
      <w:r>
        <w:rPr>
          <w:b/>
          <w:color w:val="1F2A44"/>
          <w:sz w:val="21"/>
        </w:rPr>
        <w:t>IMPACT CTMS to Veeva CTMS Migration</w:t>
      </w:r>
    </w:p>
    <w:p>
      <w:pPr>
        <w:spacing w:before="20" w:after="20"/>
      </w:pPr>
      <w:r>
        <w:rPr>
          <w:b/>
          <w:color w:val="1F2A44"/>
        </w:rPr>
        <w:t xml:space="preserve">Role:  </w:t>
      </w:r>
      <w:r>
        <w:t>Migration &amp; PQ business lead, Novartis.</w:t>
      </w:r>
    </w:p>
    <w:p>
      <w:pPr>
        <w:spacing w:before="20" w:after="20"/>
      </w:pPr>
      <w:r>
        <w:rPr>
          <w:b/>
          <w:color w:val="1F2A44"/>
        </w:rPr>
        <w:t xml:space="preserve">Context:  </w:t>
      </w:r>
      <w:r>
        <w:t>Legacy IMPACT CTMS required transition to Veeva CTMS as the enterprise clinical-operations platform.</w:t>
      </w:r>
    </w:p>
    <w:p>
      <w:pPr>
        <w:spacing w:before="20" w:after="20"/>
      </w:pPr>
      <w:r>
        <w:rPr>
          <w:b/>
          <w:color w:val="1F2A44"/>
        </w:rPr>
        <w:t xml:space="preserve">Contribution:  </w:t>
      </w:r>
      <w:r>
        <w:t>Steered migration planning, validation coordination, and PQ sign-off across global stakeholders.</w:t>
      </w:r>
    </w:p>
    <w:p>
      <w:pPr>
        <w:spacing w:before="20" w:after="40"/>
      </w:pPr>
      <w:r>
        <w:rPr>
          <w:b/>
          <w:color w:val="1F2A44"/>
        </w:rPr>
        <w:t xml:space="preserve">Impact:  </w:t>
      </w:r>
      <w:r>
        <w:t>Delivered a validated, audit-ready platform transition sustaining 21 CFR Part 11 and EU Annex 11 compliance.</w:t>
      </w:r>
    </w:p>
    <w:p>
      <w:pPr>
        <w:spacing w:before="100" w:after="20"/>
      </w:pPr>
      <w:r>
        <w:rPr>
          <w:b/>
          <w:color w:val="1F2A44"/>
          <w:sz w:val="21"/>
        </w:rPr>
        <w:t>AI-Enabled SIGNAL Automation</w:t>
      </w:r>
    </w:p>
    <w:p>
      <w:pPr>
        <w:spacing w:before="20" w:after="20"/>
      </w:pPr>
      <w:r>
        <w:rPr>
          <w:b/>
          <w:color w:val="1F2A44"/>
        </w:rPr>
        <w:t xml:space="preserve">Role:  </w:t>
      </w:r>
      <w:r>
        <w:t>Product / transformation lead, Novartis.</w:t>
      </w:r>
    </w:p>
    <w:p>
      <w:pPr>
        <w:spacing w:before="20" w:after="20"/>
      </w:pPr>
      <w:r>
        <w:rPr>
          <w:b/>
          <w:color w:val="1F2A44"/>
        </w:rPr>
        <w:t xml:space="preserve">Context:  </w:t>
      </w:r>
      <w:r>
        <w:t>Manual clinical report review created operational burden and cycle-time pressure within a GxP-governed environment.</w:t>
      </w:r>
    </w:p>
    <w:p>
      <w:pPr>
        <w:spacing w:before="20" w:after="20"/>
      </w:pPr>
      <w:r>
        <w:rPr>
          <w:b/>
          <w:color w:val="1F2A44"/>
        </w:rPr>
        <w:t xml:space="preserve">Contribution:  </w:t>
      </w:r>
      <w:r>
        <w:t>Championed AI-driven SIGNAL automation, partnering with technical and quality stakeholders on a compliant rollout.</w:t>
      </w:r>
    </w:p>
    <w:p>
      <w:pPr>
        <w:spacing w:before="20" w:after="40"/>
      </w:pPr>
      <w:r>
        <w:rPr>
          <w:b/>
          <w:color w:val="1F2A44"/>
        </w:rPr>
        <w:t xml:space="preserve">Impact:  </w:t>
      </w:r>
      <w:r>
        <w:t>Reduced manual clinical report review and accelerated clinical-operations throughput.</w:t>
      </w:r>
    </w:p>
    <w:p>
      <w:pPr>
        <w:spacing w:before="100" w:after="20"/>
      </w:pPr>
      <w:r>
        <w:rPr>
          <w:b/>
          <w:color w:val="1F2A44"/>
          <w:sz w:val="21"/>
        </w:rPr>
        <w:t>Clinical Documentation &amp; eTMF Workflow Transformation</w:t>
      </w:r>
    </w:p>
    <w:p>
      <w:pPr>
        <w:spacing w:before="20" w:after="20"/>
      </w:pPr>
      <w:r>
        <w:rPr>
          <w:b/>
          <w:color w:val="1F2A44"/>
        </w:rPr>
        <w:t xml:space="preserve">Role:  </w:t>
      </w:r>
      <w:r>
        <w:t>Product / transformation lead, Novartis.</w:t>
      </w:r>
    </w:p>
    <w:p>
      <w:pPr>
        <w:spacing w:before="20" w:after="20"/>
      </w:pPr>
      <w:r>
        <w:rPr>
          <w:b/>
          <w:color w:val="1F2A44"/>
        </w:rPr>
        <w:t xml:space="preserve">Context:  </w:t>
      </w:r>
      <w:r>
        <w:t>Documentation and eTMF workflows needed acceleration without compromising regulatory compliance.</w:t>
      </w:r>
    </w:p>
    <w:p>
      <w:pPr>
        <w:spacing w:before="20" w:after="20"/>
      </w:pPr>
      <w:r>
        <w:rPr>
          <w:b/>
          <w:color w:val="1F2A44"/>
        </w:rPr>
        <w:t xml:space="preserve">Contribution:  </w:t>
      </w:r>
      <w:r>
        <w:t>Drove AI-enabled clinical documentation and eTMF workflow optimization across regulated operations.</w:t>
      </w:r>
    </w:p>
    <w:p>
      <w:pPr>
        <w:spacing w:before="20" w:after="40"/>
      </w:pPr>
      <w:r>
        <w:rPr>
          <w:b/>
          <w:color w:val="1F2A44"/>
        </w:rPr>
        <w:t xml:space="preserve">Impact:  </w:t>
      </w:r>
      <w:r>
        <w:t>Accelerated documentation cycles and strengthened eTMF audit readiness.</w:t>
      </w:r>
    </w:p>
    <w:p>
      <w:pPr>
        <w:spacing w:before="120" w:after="40"/>
        <w:pBdr>
          <w:bottom w:val="single" w:sz="6" w:space="2" w:color="1F2A44"/>
        </w:pBdr>
      </w:pPr>
      <w:r>
        <w:rPr>
          <w:b/>
          <w:color w:val="1F2A44"/>
          <w:sz w:val="23"/>
        </w:rPr>
        <w:t>AI TRANSFORMATION &amp; INNOVATION PORTFOLIO</w:t>
      </w:r>
    </w:p>
    <w:p>
      <w:pPr>
        <w:pStyle w:val="ListBullet"/>
        <w:spacing w:before="0" w:after="20"/>
        <w:ind w:left="280"/>
      </w:pPr>
      <w:r>
        <w:rPr>
          <w:b/>
        </w:rPr>
        <w:t xml:space="preserve">MediScribe — </w:t>
      </w:r>
      <w:r>
        <w:t>Ambient AI clinical documentation (Healthcare AI). Role: Founder &amp; AI Product Lead. Status: MVP / Pilot.</w:t>
      </w:r>
    </w:p>
    <w:p>
      <w:pPr>
        <w:pStyle w:val="ListBullet"/>
        <w:spacing w:before="0" w:after="20"/>
        <w:ind w:left="280"/>
      </w:pPr>
      <w:r>
        <w:rPr>
          <w:b/>
        </w:rPr>
        <w:t xml:space="preserve">ResQ — </w:t>
      </w:r>
      <w:r>
        <w:t>AI emergency coordination and triage platform. Role: Founder &amp; AI Product Lead. Status: In Development.</w:t>
      </w:r>
    </w:p>
    <w:p>
      <w:pPr>
        <w:pStyle w:val="ListBullet"/>
        <w:spacing w:before="0" w:after="20"/>
        <w:ind w:left="280"/>
      </w:pPr>
      <w:r>
        <w:rPr>
          <w:b/>
        </w:rPr>
        <w:t xml:space="preserve">Orthopedic Platform — </w:t>
      </w:r>
      <w:r>
        <w:t>Digital-health patient-engagement platform. Role: Product &amp; Delivery Lead. Status: Live.</w:t>
      </w:r>
    </w:p>
    <w:p>
      <w:pPr>
        <w:pStyle w:val="ListBullet"/>
        <w:spacing w:before="0" w:after="20"/>
        <w:ind w:left="280"/>
      </w:pPr>
      <w:r>
        <w:rPr>
          <w:b/>
        </w:rPr>
        <w:t xml:space="preserve">Smiling Hearts — </w:t>
      </w:r>
      <w:r>
        <w:t>Digital-health platform for cardiac care. Role: Product &amp; Delivery Lead. Status: Live.</w:t>
      </w:r>
    </w:p>
    <w:p>
      <w:pPr>
        <w:pStyle w:val="ListBullet"/>
        <w:spacing w:before="0" w:after="20"/>
        <w:ind w:left="280"/>
      </w:pPr>
      <w:r>
        <w:rPr>
          <w:b/>
        </w:rPr>
        <w:t xml:space="preserve">Government CIC Automation — </w:t>
      </w:r>
      <w:r>
        <w:t>GovTech citizen-information and workflow-automation system. Role: Solution Designer. Status: Delivered.</w:t>
      </w:r>
    </w:p>
    <w:p>
      <w:pPr>
        <w:spacing w:before="120" w:after="40"/>
        <w:pBdr>
          <w:bottom w:val="single" w:sz="6" w:space="2" w:color="1F2A44"/>
        </w:pBdr>
      </w:pPr>
      <w:r>
        <w:rPr>
          <w:b/>
          <w:color w:val="1F2A44"/>
          <w:sz w:val="23"/>
        </w:rPr>
        <w:t>AI GOVERNANCE &amp; RESPONSIBLE AI</w:t>
      </w:r>
    </w:p>
    <w:p>
      <w:pPr>
        <w:spacing w:before="0" w:after="20"/>
      </w:pPr>
      <w:r>
        <w:t>Positioning for enterprise AI governance leadership by pairing 18+ years of regulated-platform governance with active development of responsible AI practices for healthcare:</w:t>
      </w:r>
    </w:p>
    <w:p>
      <w:pPr>
        <w:pStyle w:val="ListBullet"/>
        <w:spacing w:before="0" w:after="20"/>
        <w:ind w:left="280"/>
      </w:pPr>
      <w:r>
        <w:t>Enterprise AI governance and AI operating models — translating GxP platform-governance experience into AI policy, AI controls, and oversight structures across the AI lifecycle.</w:t>
      </w:r>
    </w:p>
    <w:p>
      <w:pPr>
        <w:pStyle w:val="ListBullet"/>
        <w:spacing w:before="0" w:after="20"/>
        <w:ind w:left="280"/>
      </w:pPr>
      <w:r>
        <w:t>AI risk management and model governance aligned to the NIST AI Risk Management Framework (AI RMF), with working awareness of ISO/IEC 42001 (AI management systems) and the EU AI Act.</w:t>
      </w:r>
    </w:p>
    <w:p>
      <w:pPr>
        <w:pStyle w:val="ListBullet"/>
        <w:spacing w:before="0" w:after="20"/>
        <w:ind w:left="280"/>
      </w:pPr>
      <w:r>
        <w:t>AI risk controls and human oversight (human-in-the-loop) operationalizing Responsible AI principles — fairness, transparency, accountability, and explainability — for clinical decision support.</w:t>
      </w:r>
    </w:p>
    <w:p>
      <w:pPr>
        <w:pStyle w:val="ListBullet"/>
        <w:spacing w:before="0" w:after="20"/>
        <w:ind w:left="280"/>
      </w:pPr>
      <w:r>
        <w:t>Regulatory readiness and healthcare AI compliance — extending CSV/CSA, 21 CFR Part 11, and EU Annex 11 validation discipline toward audit-ready, responsibly adopted AI.</w:t>
      </w:r>
    </w:p>
    <w:p>
      <w:pPr>
        <w:spacing w:before="120" w:after="40"/>
        <w:pBdr>
          <w:bottom w:val="single" w:sz="6" w:space="2" w:color="1F2A44"/>
        </w:pBdr>
      </w:pPr>
      <w:r>
        <w:rPr>
          <w:b/>
          <w:color w:val="1F2A44"/>
          <w:sz w:val="23"/>
        </w:rPr>
        <w:t>CERTIFICATIONS &amp; PROFESSIONAL DEVELOPMENT</w:t>
      </w:r>
    </w:p>
    <w:p>
      <w:pPr>
        <w:spacing w:before="20" w:after="20"/>
      </w:pPr>
      <w:r>
        <w:rPr>
          <w:b/>
          <w:color w:val="1F2A44"/>
        </w:rPr>
        <w:t xml:space="preserve">AI &amp; Emerging Technologies:  </w:t>
      </w:r>
      <w:r>
        <w:t>AI Tools for Healthcare Professionals — IIT Kanpur, Techkriti 2026 (Mar 2026); Agentic AI &amp; ML: Build an Autonomous Workflow — IIT Kanpur, Techkriti 2026 (Mar 2026); Agentic AI: Build Autonomous AI Workflows — MIT-WPU, Pune (May 2026); Claude AI Masterclass — MIT-WPU, Pune (May 2026); Microsoft Excel Using AI — OfficeMaster (Jul 2025).</w:t>
      </w:r>
    </w:p>
    <w:p>
      <w:pPr>
        <w:spacing w:before="20" w:after="20"/>
      </w:pPr>
      <w:r>
        <w:rPr>
          <w:b/>
          <w:color w:val="1F2A44"/>
        </w:rPr>
        <w:t xml:space="preserve">Healthcare &amp; Clinical Platforms:  </w:t>
      </w:r>
      <w:r>
        <w:t>Veeva Vault Platform Business Administrator — Veeva Training Services (Jun 2025); Veeva Vault Platform Fundamentals — Veeva Training Services (Jun 2025); Certified Product Owner (Clinical Systems); Oracle SQL Certification.</w:t>
      </w:r>
    </w:p>
    <w:p>
      <w:pPr>
        <w:spacing w:before="20" w:after="20"/>
      </w:pPr>
      <w:r>
        <w:rPr>
          <w:b/>
          <w:color w:val="1F2A44"/>
        </w:rPr>
        <w:t xml:space="preserve">Leadership &amp; Product Management:  </w:t>
      </w:r>
      <w:r>
        <w:t>Project Management Advanced Workshop — Educate 360 (Apr 2025); Executive Presence Mastery Bootcamp — Excel360 (Dec 2025); People Management Assessment — LearnTube.ai (Dec 2025); ITIL Foundation; Six Sigma Green Belt.</w:t>
      </w:r>
    </w:p>
    <w:p>
      <w:pPr>
        <w:spacing w:before="120" w:after="40"/>
        <w:pBdr>
          <w:bottom w:val="single" w:sz="6" w:space="2" w:color="1F2A44"/>
        </w:pBdr>
      </w:pPr>
      <w:r>
        <w:rPr>
          <w:b/>
          <w:color w:val="1F2A44"/>
          <w:sz w:val="23"/>
        </w:rPr>
        <w:t>PROFESSIONAL INTERESTS</w:t>
      </w:r>
    </w:p>
    <w:p>
      <w:pPr>
        <w:spacing w:before="0" w:after="20"/>
      </w:pPr>
      <w:r>
        <w:t>Enterprise AI Governance • Responsible AI • Healthcare AI Transformation • NIST AI Risk Management Framework (AI RMF) • EU AI Act • ISO/IEC 42001</w:t>
      </w:r>
    </w:p>
    <w:p>
      <w:pPr>
        <w:spacing w:before="120" w:after="40"/>
        <w:pBdr>
          <w:bottom w:val="single" w:sz="6" w:space="2" w:color="1F2A44"/>
        </w:pBdr>
      </w:pPr>
      <w:r>
        <w:rPr>
          <w:b/>
          <w:color w:val="1F2A44"/>
          <w:sz w:val="23"/>
        </w:rPr>
        <w:t>EDUCATION</w:t>
      </w:r>
    </w:p>
    <w:p>
      <w:pPr>
        <w:spacing w:before="20" w:after="20"/>
      </w:pPr>
      <w:r>
        <w:rPr>
          <w:b/>
          <w:color w:val="1F2A44"/>
        </w:rPr>
        <w:t xml:space="preserve">Bachelor of Engineering (B.E.):  </w:t>
      </w:r>
      <w:r>
        <w:t>Shivaji University, India  |  Class of 2007</w:t>
      </w:r>
    </w:p>
    <w:sectPr w:rsidR="00FC693F" w:rsidRPr="0006063C" w:rsidSect="00034616">
      <w:pgSz w:w="12240" w:h="15840"/>
      <w:pgMar w:top="600" w:right="1080" w:bottom="6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40" w:lineRule="auto"/>
    </w:pPr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